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B51" w:rsidRPr="0058669F" w:rsidRDefault="00434B51" w:rsidP="00434B51">
      <w:pPr>
        <w:jc w:val="center"/>
        <w:rPr>
          <w:rFonts w:ascii="Tahoma" w:hAnsi="Tahoma" w:cs="Tahoma"/>
          <w:b/>
          <w:color w:val="2E74B5" w:themeColor="accent1" w:themeShade="BF"/>
          <w:sz w:val="40"/>
          <w:szCs w:val="40"/>
        </w:rPr>
      </w:pPr>
      <w:r w:rsidRPr="0058669F">
        <w:rPr>
          <w:rFonts w:ascii="Tahoma" w:hAnsi="Tahoma" w:cs="Tahoma"/>
          <w:b/>
          <w:color w:val="2E74B5" w:themeColor="accent1" w:themeShade="BF"/>
          <w:sz w:val="40"/>
          <w:szCs w:val="40"/>
        </w:rPr>
        <w:t>Weingarten Rights</w:t>
      </w:r>
    </w:p>
    <w:p w:rsidR="00434B51" w:rsidRPr="00434B51" w:rsidRDefault="00434B51" w:rsidP="00434B51">
      <w:p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In the 1975 case NLRB v. J. Weingarten Inc., the U.S. Supreme Court dec</w:t>
      </w:r>
      <w:r w:rsidR="00780874">
        <w:rPr>
          <w:rFonts w:ascii="Tahoma" w:hAnsi="Tahoma" w:cs="Tahoma"/>
          <w:sz w:val="28"/>
          <w:szCs w:val="28"/>
        </w:rPr>
        <w:t>lared that unionized employees in the private sector</w:t>
      </w:r>
      <w:r w:rsidRPr="00434B51">
        <w:rPr>
          <w:rFonts w:ascii="Tahoma" w:hAnsi="Tahoma" w:cs="Tahoma"/>
          <w:sz w:val="28"/>
          <w:szCs w:val="28"/>
        </w:rPr>
        <w:t xml:space="preserve"> have the right to have a steward present during an investigatory meeting with management when the employee believes the meeting might lead to disciplinary action being taken against </w:t>
      </w:r>
      <w:r>
        <w:rPr>
          <w:rFonts w:ascii="Tahoma" w:hAnsi="Tahoma" w:cs="Tahoma"/>
          <w:sz w:val="28"/>
          <w:szCs w:val="28"/>
        </w:rPr>
        <w:t>them</w:t>
      </w:r>
      <w:r w:rsidRPr="00434B51">
        <w:rPr>
          <w:rFonts w:ascii="Tahoma" w:hAnsi="Tahoma" w:cs="Tahoma"/>
          <w:sz w:val="28"/>
          <w:szCs w:val="28"/>
        </w:rPr>
        <w:t>. According to the court, these rights arise as a result of the proper functioning of the National Labor Relations Act (NLRA). The rights flo</w:t>
      </w:r>
      <w:r>
        <w:rPr>
          <w:rFonts w:ascii="Tahoma" w:hAnsi="Tahoma" w:cs="Tahoma"/>
          <w:sz w:val="28"/>
          <w:szCs w:val="28"/>
        </w:rPr>
        <w:t>w from NLRA Section 7</w:t>
      </w:r>
      <w:r w:rsidRPr="00434B51">
        <w:rPr>
          <w:rFonts w:ascii="Tahoma" w:hAnsi="Tahoma" w:cs="Tahoma"/>
          <w:sz w:val="28"/>
          <w:szCs w:val="28"/>
        </w:rPr>
        <w:t>’s guarante</w:t>
      </w:r>
      <w:r>
        <w:rPr>
          <w:rFonts w:ascii="Tahoma" w:hAnsi="Tahoma" w:cs="Tahoma"/>
          <w:sz w:val="28"/>
          <w:szCs w:val="28"/>
        </w:rPr>
        <w:t xml:space="preserve">e of the right of employees to </w:t>
      </w:r>
      <w:r w:rsidRPr="00434B51">
        <w:rPr>
          <w:rFonts w:ascii="Tahoma" w:hAnsi="Tahoma" w:cs="Tahoma"/>
          <w:sz w:val="28"/>
          <w:szCs w:val="28"/>
        </w:rPr>
        <w:t>act “in concert for mutual aid and protection.” Deni</w:t>
      </w:r>
      <w:r>
        <w:rPr>
          <w:rFonts w:ascii="Tahoma" w:hAnsi="Tahoma" w:cs="Tahoma"/>
          <w:sz w:val="28"/>
          <w:szCs w:val="28"/>
        </w:rPr>
        <w:t xml:space="preserve">al of this right violates NLRA Section </w:t>
      </w:r>
      <w:r w:rsidRPr="00434B51">
        <w:rPr>
          <w:rFonts w:ascii="Tahoma" w:hAnsi="Tahoma" w:cs="Tahoma"/>
          <w:sz w:val="28"/>
          <w:szCs w:val="28"/>
        </w:rPr>
        <w:t xml:space="preserve">8(a)(1). </w:t>
      </w:r>
      <w:r w:rsidR="00C6180D">
        <w:rPr>
          <w:rFonts w:ascii="Tahoma" w:hAnsi="Tahoma" w:cs="Tahoma"/>
          <w:sz w:val="28"/>
          <w:szCs w:val="28"/>
        </w:rPr>
        <w:t>Many</w:t>
      </w:r>
      <w:r>
        <w:rPr>
          <w:rFonts w:ascii="Tahoma" w:hAnsi="Tahoma" w:cs="Tahoma"/>
          <w:sz w:val="28"/>
          <w:szCs w:val="28"/>
        </w:rPr>
        <w:t xml:space="preserve"> states</w:t>
      </w:r>
      <w:r w:rsidR="005940E1">
        <w:rPr>
          <w:rFonts w:ascii="Tahoma" w:hAnsi="Tahoma" w:cs="Tahoma"/>
          <w:sz w:val="28"/>
          <w:szCs w:val="28"/>
        </w:rPr>
        <w:t>, including Washington,</w:t>
      </w:r>
      <w:r>
        <w:rPr>
          <w:rFonts w:ascii="Tahoma" w:hAnsi="Tahoma" w:cs="Tahoma"/>
          <w:sz w:val="28"/>
          <w:szCs w:val="28"/>
        </w:rPr>
        <w:t xml:space="preserve"> </w:t>
      </w:r>
      <w:r w:rsidR="00C6180D">
        <w:rPr>
          <w:rFonts w:ascii="Tahoma" w:hAnsi="Tahoma" w:cs="Tahoma"/>
          <w:sz w:val="28"/>
          <w:szCs w:val="28"/>
        </w:rPr>
        <w:t>recognize</w:t>
      </w:r>
      <w:r>
        <w:rPr>
          <w:rFonts w:ascii="Tahoma" w:hAnsi="Tahoma" w:cs="Tahoma"/>
          <w:sz w:val="28"/>
          <w:szCs w:val="28"/>
        </w:rPr>
        <w:t xml:space="preserve"> </w:t>
      </w:r>
      <w:r w:rsidR="00C6180D">
        <w:rPr>
          <w:rFonts w:ascii="Tahoma" w:hAnsi="Tahoma" w:cs="Tahoma"/>
          <w:sz w:val="28"/>
          <w:szCs w:val="28"/>
        </w:rPr>
        <w:t>the same rights for</w:t>
      </w:r>
      <w:r>
        <w:rPr>
          <w:rFonts w:ascii="Tahoma" w:hAnsi="Tahoma" w:cs="Tahoma"/>
          <w:sz w:val="28"/>
          <w:szCs w:val="28"/>
        </w:rPr>
        <w:t xml:space="preserve"> public employees. </w:t>
      </w:r>
      <w:r w:rsidR="00C6180D">
        <w:rPr>
          <w:rFonts w:ascii="Tahoma" w:hAnsi="Tahoma" w:cs="Tahoma"/>
          <w:sz w:val="28"/>
          <w:szCs w:val="28"/>
        </w:rPr>
        <w:t xml:space="preserve">Your contract may include </w:t>
      </w:r>
      <w:r w:rsidR="005940E1">
        <w:rPr>
          <w:rFonts w:ascii="Tahoma" w:hAnsi="Tahoma" w:cs="Tahoma"/>
          <w:sz w:val="28"/>
          <w:szCs w:val="28"/>
        </w:rPr>
        <w:t xml:space="preserve">additional </w:t>
      </w:r>
      <w:r w:rsidR="00C6180D">
        <w:rPr>
          <w:rFonts w:ascii="Tahoma" w:hAnsi="Tahoma" w:cs="Tahoma"/>
          <w:sz w:val="28"/>
          <w:szCs w:val="28"/>
        </w:rPr>
        <w:t xml:space="preserve">language about </w:t>
      </w:r>
      <w:r w:rsidR="005940E1">
        <w:rPr>
          <w:rFonts w:ascii="Tahoma" w:hAnsi="Tahoma" w:cs="Tahoma"/>
          <w:sz w:val="28"/>
          <w:szCs w:val="28"/>
        </w:rPr>
        <w:t>your</w:t>
      </w:r>
      <w:r w:rsidR="00C6180D">
        <w:rPr>
          <w:rFonts w:ascii="Tahoma" w:hAnsi="Tahoma" w:cs="Tahoma"/>
          <w:sz w:val="28"/>
          <w:szCs w:val="28"/>
        </w:rPr>
        <w:t xml:space="preserve"> right to representation. </w:t>
      </w:r>
    </w:p>
    <w:p w:rsidR="00434B51" w:rsidRPr="00434B51" w:rsidRDefault="00434B51" w:rsidP="00434B5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328C9E" wp14:editId="5C493C33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076450" cy="3876675"/>
                <wp:effectExtent l="19050" t="19050" r="38100" b="476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txbx>
                        <w:txbxContent>
                          <w:p w:rsidR="00C6180D" w:rsidRPr="00C6180D" w:rsidRDefault="00C6180D" w:rsidP="00434B5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6180D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WEINGARTEN STATEMENT:</w:t>
                            </w:r>
                          </w:p>
                          <w:p w:rsidR="00434B51" w:rsidRPr="00C6180D" w:rsidRDefault="00434B51" w:rsidP="00434B5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C6180D">
                              <w:rPr>
                                <w:rFonts w:ascii="Tahoma" w:hAnsi="Tahoma" w:cs="Tahoma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“If the discussion in this meeting could in any way lead to my being discip</w:t>
                            </w:r>
                            <w:r w:rsidR="00C6180D">
                              <w:rPr>
                                <w:rFonts w:ascii="Tahoma" w:hAnsi="Tahoma" w:cs="Tahoma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lined or terminated or impact</w:t>
                            </w:r>
                            <w:r w:rsidRPr="00C6180D">
                              <w:rPr>
                                <w:rFonts w:ascii="Tahoma" w:hAnsi="Tahoma" w:cs="Tahoma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my personal working conditions, I request that my steward, local officer or union representative be present. Without union representation, I choose not to answer any further questions at this time. This is my right </w:t>
                            </w:r>
                            <w:r w:rsidR="00C6180D">
                              <w:rPr>
                                <w:rFonts w:ascii="Tahoma" w:hAnsi="Tahoma" w:cs="Tahoma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under law.”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28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3pt;margin-top:2.4pt;width:163.5pt;height:305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" fillcolor="white [3201]" strokecolor="#538135 [2409]" strokeweight="4pt">
                <v:stroke dashstyle="dashDot"/>
                <v:textbox>
                  <w:txbxContent>
                    <w:p w:rsidR="00C6180D" w:rsidRPr="00C6180D" w:rsidRDefault="00C6180D" w:rsidP="00434B51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6180D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WEINGARTEN STATEMENT:</w:t>
                      </w:r>
                    </w:p>
                    <w:p w:rsidR="00434B51" w:rsidRPr="00C6180D" w:rsidRDefault="00434B51" w:rsidP="00434B51">
                      <w:pPr>
                        <w:jc w:val="center"/>
                        <w:rPr>
                          <w:rFonts w:ascii="Tahoma" w:hAnsi="Tahoma" w:cs="Tahoma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C6180D">
                        <w:rPr>
                          <w:rFonts w:ascii="Tahoma" w:hAnsi="Tahoma" w:cs="Tahoma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“If the discussion in this meeting could in any way lead to my being discip</w:t>
                      </w:r>
                      <w:r w:rsidR="00C6180D">
                        <w:rPr>
                          <w:rFonts w:ascii="Tahoma" w:hAnsi="Tahoma" w:cs="Tahoma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lined or terminated or impact</w:t>
                      </w:r>
                      <w:r w:rsidRPr="00C6180D">
                        <w:rPr>
                          <w:rFonts w:ascii="Tahoma" w:hAnsi="Tahoma" w:cs="Tahoma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my personal working conditions, I request that my steward, local officer or union representative be present. Without union representation, I choose not to answer any further questions at this time. This is my right </w:t>
                      </w:r>
                      <w:r w:rsidR="00C6180D">
                        <w:rPr>
                          <w:rFonts w:ascii="Tahoma" w:hAnsi="Tahoma" w:cs="Tahoma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under law.”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34B51">
        <w:rPr>
          <w:rFonts w:ascii="Tahoma" w:hAnsi="Tahoma" w:cs="Tahoma"/>
          <w:sz w:val="28"/>
          <w:szCs w:val="28"/>
        </w:rPr>
        <w:t>Weingarten rights apply during invest</w:t>
      </w:r>
      <w:r>
        <w:rPr>
          <w:rFonts w:ascii="Tahoma" w:hAnsi="Tahoma" w:cs="Tahoma"/>
          <w:sz w:val="28"/>
          <w:szCs w:val="28"/>
        </w:rPr>
        <w:t>igatory interviews when a super</w:t>
      </w:r>
      <w:r w:rsidRPr="00434B51">
        <w:rPr>
          <w:rFonts w:ascii="Tahoma" w:hAnsi="Tahoma" w:cs="Tahoma"/>
          <w:sz w:val="28"/>
          <w:szCs w:val="28"/>
        </w:rPr>
        <w:t xml:space="preserve">visor questions an employee to obtain information that could be used as grounds for discipline. When an employee believes such a meeting may lead to discipline, </w:t>
      </w:r>
      <w:r>
        <w:rPr>
          <w:rFonts w:ascii="Tahoma" w:hAnsi="Tahoma" w:cs="Tahoma"/>
          <w:sz w:val="28"/>
          <w:szCs w:val="28"/>
        </w:rPr>
        <w:t>they have</w:t>
      </w:r>
      <w:r w:rsidRPr="00434B51">
        <w:rPr>
          <w:rFonts w:ascii="Tahoma" w:hAnsi="Tahoma" w:cs="Tahoma"/>
          <w:sz w:val="28"/>
          <w:szCs w:val="28"/>
        </w:rPr>
        <w:t xml:space="preserve"> the right to request union representation. These basic Weingarten rights stem from the Supreme Court’s decision:</w:t>
      </w:r>
    </w:p>
    <w:p w:rsidR="00434B51" w:rsidRDefault="00434B51" w:rsidP="00434B5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The employee must request representation before or during the</w:t>
      </w:r>
      <w:r>
        <w:rPr>
          <w:rFonts w:ascii="Tahoma" w:hAnsi="Tahoma" w:cs="Tahoma"/>
          <w:sz w:val="28"/>
          <w:szCs w:val="28"/>
        </w:rPr>
        <w:t xml:space="preserve"> </w:t>
      </w:r>
      <w:r w:rsidRPr="00434B51">
        <w:rPr>
          <w:rFonts w:ascii="Tahoma" w:hAnsi="Tahoma" w:cs="Tahoma"/>
          <w:sz w:val="28"/>
          <w:szCs w:val="28"/>
        </w:rPr>
        <w:t>meeting.</w:t>
      </w:r>
    </w:p>
    <w:p w:rsidR="00434B51" w:rsidRDefault="00434B51" w:rsidP="00434B51">
      <w:pPr>
        <w:pStyle w:val="ListParagraph"/>
        <w:rPr>
          <w:rFonts w:ascii="Tahoma" w:hAnsi="Tahoma" w:cs="Tahoma"/>
          <w:sz w:val="28"/>
          <w:szCs w:val="28"/>
        </w:rPr>
      </w:pPr>
    </w:p>
    <w:p w:rsidR="00434B51" w:rsidRDefault="00434B51" w:rsidP="00434B51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After an employee makes the request, the supervisor has these</w:t>
      </w:r>
      <w:r>
        <w:rPr>
          <w:rFonts w:ascii="Tahoma" w:hAnsi="Tahoma" w:cs="Tahoma"/>
          <w:sz w:val="28"/>
          <w:szCs w:val="28"/>
        </w:rPr>
        <w:t xml:space="preserve"> </w:t>
      </w:r>
      <w:r w:rsidRPr="00434B51">
        <w:rPr>
          <w:rFonts w:ascii="Tahoma" w:hAnsi="Tahoma" w:cs="Tahoma"/>
          <w:sz w:val="28"/>
          <w:szCs w:val="28"/>
        </w:rPr>
        <w:t>choices:</w:t>
      </w:r>
    </w:p>
    <w:p w:rsidR="00434B51" w:rsidRPr="00434B51" w:rsidRDefault="00434B51" w:rsidP="00434B51">
      <w:pPr>
        <w:pStyle w:val="ListParagraph"/>
        <w:rPr>
          <w:rFonts w:ascii="Tahoma" w:hAnsi="Tahoma" w:cs="Tahoma"/>
          <w:sz w:val="28"/>
          <w:szCs w:val="28"/>
        </w:rPr>
      </w:pPr>
    </w:p>
    <w:p w:rsidR="00434B51" w:rsidRDefault="00434B51" w:rsidP="00434B51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</w:t>
      </w:r>
      <w:r w:rsidRPr="00434B51">
        <w:rPr>
          <w:rFonts w:ascii="Tahoma" w:hAnsi="Tahoma" w:cs="Tahoma"/>
          <w:sz w:val="28"/>
          <w:szCs w:val="28"/>
        </w:rPr>
        <w:t>rant the request and wait for the union representative’s arrival;</w:t>
      </w:r>
    </w:p>
    <w:p w:rsidR="00434B51" w:rsidRDefault="00434B51" w:rsidP="00434B51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deny the request and end the meeting immediately; or</w:t>
      </w:r>
    </w:p>
    <w:p w:rsidR="00434B51" w:rsidRPr="00434B51" w:rsidRDefault="00434B51" w:rsidP="00434B51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give the employee the choice of either ending the meeting or continuing without representation.</w:t>
      </w:r>
    </w:p>
    <w:p w:rsidR="00434B51" w:rsidRPr="00434B51" w:rsidRDefault="00434B51" w:rsidP="00434B51">
      <w:p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lastRenderedPageBreak/>
        <w:t>If the supervisor denies the request and continues to ask questions,</w:t>
      </w:r>
      <w:r w:rsidRPr="00434B51">
        <w:t xml:space="preserve"> </w:t>
      </w:r>
      <w:r w:rsidRPr="00434B51">
        <w:rPr>
          <w:rFonts w:ascii="Tahoma" w:hAnsi="Tahoma" w:cs="Tahoma"/>
          <w:sz w:val="28"/>
          <w:szCs w:val="28"/>
        </w:rPr>
        <w:t>the employee has a right to refuse to</w:t>
      </w:r>
      <w:r>
        <w:rPr>
          <w:rFonts w:ascii="Tahoma" w:hAnsi="Tahoma" w:cs="Tahoma"/>
          <w:sz w:val="28"/>
          <w:szCs w:val="28"/>
        </w:rPr>
        <w:t xml:space="preserve"> answer. In addition, the super</w:t>
      </w:r>
      <w:r w:rsidRPr="00434B51">
        <w:rPr>
          <w:rFonts w:ascii="Tahoma" w:hAnsi="Tahoma" w:cs="Tahoma"/>
          <w:sz w:val="28"/>
          <w:szCs w:val="28"/>
        </w:rPr>
        <w:t>visor is committing an unfair labor practice</w:t>
      </w:r>
      <w:r>
        <w:rPr>
          <w:rFonts w:ascii="Tahoma" w:hAnsi="Tahoma" w:cs="Tahoma"/>
          <w:sz w:val="28"/>
          <w:szCs w:val="28"/>
        </w:rPr>
        <w:t xml:space="preserve"> (a violation of labor law)</w:t>
      </w:r>
      <w:r w:rsidRPr="00434B51">
        <w:rPr>
          <w:rFonts w:ascii="Tahoma" w:hAnsi="Tahoma" w:cs="Tahoma"/>
          <w:sz w:val="28"/>
          <w:szCs w:val="28"/>
        </w:rPr>
        <w:t>.</w:t>
      </w:r>
    </w:p>
    <w:p w:rsidR="00B14C8E" w:rsidRDefault="00B14C8E" w:rsidP="00434B51">
      <w:pPr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</w:p>
    <w:p w:rsidR="00434B51" w:rsidRPr="00434B51" w:rsidRDefault="00434B51" w:rsidP="00434B51">
      <w:pPr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 w:rsidRPr="00434B51">
        <w:rPr>
          <w:rFonts w:ascii="Tahoma" w:hAnsi="Tahoma" w:cs="Tahoma"/>
          <w:b/>
          <w:color w:val="2E74B5" w:themeColor="accent1" w:themeShade="BF"/>
          <w:sz w:val="28"/>
          <w:szCs w:val="28"/>
        </w:rPr>
        <w:t xml:space="preserve">Employee Rights </w:t>
      </w:r>
      <w:r w:rsidR="004620C3">
        <w:rPr>
          <w:rFonts w:ascii="Tahoma" w:hAnsi="Tahoma" w:cs="Tahoma"/>
          <w:b/>
          <w:color w:val="2E74B5" w:themeColor="accent1" w:themeShade="BF"/>
          <w:sz w:val="28"/>
          <w:szCs w:val="28"/>
        </w:rPr>
        <w:t>in Weingarten Meetings</w:t>
      </w:r>
    </w:p>
    <w:p w:rsidR="00434B51" w:rsidRPr="00434B51" w:rsidRDefault="00434B51" w:rsidP="00434B51">
      <w:p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 xml:space="preserve">Beware that management is not obligated to inform employees of their Weingarten rights – employees must ask for them. Unlike Miranda rights – where police are required to tell a suspect of </w:t>
      </w:r>
      <w:r>
        <w:rPr>
          <w:rFonts w:ascii="Tahoma" w:hAnsi="Tahoma" w:cs="Tahoma"/>
          <w:sz w:val="28"/>
          <w:szCs w:val="28"/>
        </w:rPr>
        <w:t>their right to an attorney-</w:t>
      </w:r>
      <w:r w:rsidRPr="00434B51">
        <w:rPr>
          <w:rFonts w:ascii="Tahoma" w:hAnsi="Tahoma" w:cs="Tahoma"/>
          <w:sz w:val="28"/>
          <w:szCs w:val="28"/>
        </w:rPr>
        <w:t xml:space="preserve"> employees must ask for their Weingarten rights. Some locals provide members with a </w:t>
      </w:r>
      <w:r>
        <w:rPr>
          <w:rFonts w:ascii="Tahoma" w:hAnsi="Tahoma" w:cs="Tahoma"/>
          <w:sz w:val="28"/>
          <w:szCs w:val="28"/>
        </w:rPr>
        <w:t xml:space="preserve">wallet-sized card they can keep </w:t>
      </w:r>
      <w:r w:rsidRPr="00434B51">
        <w:rPr>
          <w:rFonts w:ascii="Tahoma" w:hAnsi="Tahoma" w:cs="Tahoma"/>
          <w:sz w:val="28"/>
          <w:szCs w:val="28"/>
        </w:rPr>
        <w:t>with them. If they find themselves in a meeti</w:t>
      </w:r>
      <w:r>
        <w:rPr>
          <w:rFonts w:ascii="Tahoma" w:hAnsi="Tahoma" w:cs="Tahoma"/>
          <w:sz w:val="28"/>
          <w:szCs w:val="28"/>
        </w:rPr>
        <w:t>ng they believe may lead to dis</w:t>
      </w:r>
      <w:r w:rsidRPr="00434B51">
        <w:rPr>
          <w:rFonts w:ascii="Tahoma" w:hAnsi="Tahoma" w:cs="Tahoma"/>
          <w:sz w:val="28"/>
          <w:szCs w:val="28"/>
        </w:rPr>
        <w:t>cipline, they can read or hand the card to the supervisor.</w:t>
      </w:r>
    </w:p>
    <w:p w:rsidR="00B14C8E" w:rsidRDefault="00B14C8E" w:rsidP="00434B51">
      <w:pPr>
        <w:jc w:val="center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</w:p>
    <w:p w:rsidR="00434B51" w:rsidRPr="00434B51" w:rsidRDefault="004620C3" w:rsidP="00434B5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color w:val="2E74B5" w:themeColor="accent1" w:themeShade="BF"/>
          <w:sz w:val="28"/>
          <w:szCs w:val="28"/>
        </w:rPr>
        <w:t>Steward Rights in Weingarten</w:t>
      </w:r>
      <w:r w:rsidR="00434B51" w:rsidRPr="00434B51">
        <w:rPr>
          <w:rFonts w:ascii="Tahoma" w:hAnsi="Tahoma" w:cs="Tahoma"/>
          <w:b/>
          <w:color w:val="2E74B5" w:themeColor="accent1" w:themeShade="BF"/>
          <w:sz w:val="28"/>
          <w:szCs w:val="28"/>
        </w:rPr>
        <w:t xml:space="preserve"> Meetings</w:t>
      </w:r>
    </w:p>
    <w:p w:rsidR="00434B51" w:rsidRDefault="00434B51" w:rsidP="00434B51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Ask to be informed of the purpose of the meeting.</w:t>
      </w:r>
    </w:p>
    <w:p w:rsidR="00434B51" w:rsidRDefault="00434B51" w:rsidP="00434B51">
      <w:pPr>
        <w:pStyle w:val="ListParagraph"/>
        <w:rPr>
          <w:rFonts w:ascii="Tahoma" w:hAnsi="Tahoma" w:cs="Tahoma"/>
          <w:sz w:val="28"/>
          <w:szCs w:val="28"/>
        </w:rPr>
      </w:pPr>
    </w:p>
    <w:p w:rsidR="00434B51" w:rsidRDefault="00434B51" w:rsidP="00434B51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Meet with the employee before the supervisor begins questioning the employee.</w:t>
      </w:r>
    </w:p>
    <w:p w:rsidR="00434B51" w:rsidRPr="00434B51" w:rsidRDefault="00434B51" w:rsidP="00434B51">
      <w:pPr>
        <w:pStyle w:val="ListParagraph"/>
        <w:rPr>
          <w:rFonts w:ascii="Tahoma" w:hAnsi="Tahoma" w:cs="Tahoma"/>
          <w:sz w:val="28"/>
          <w:szCs w:val="28"/>
        </w:rPr>
      </w:pPr>
    </w:p>
    <w:p w:rsidR="00434B51" w:rsidRDefault="00434B51" w:rsidP="00434B51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If necessary, request clarification of a question before the employee responds.</w:t>
      </w:r>
    </w:p>
    <w:p w:rsidR="00434B51" w:rsidRPr="00434B51" w:rsidRDefault="00434B51" w:rsidP="00434B51">
      <w:pPr>
        <w:pStyle w:val="ListParagraph"/>
        <w:rPr>
          <w:rFonts w:ascii="Tahoma" w:hAnsi="Tahoma" w:cs="Tahoma"/>
          <w:sz w:val="28"/>
          <w:szCs w:val="28"/>
        </w:rPr>
      </w:pPr>
    </w:p>
    <w:p w:rsidR="00434B51" w:rsidRDefault="00434B51" w:rsidP="00434B51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Offer advice to the emplo</w:t>
      </w:r>
      <w:r w:rsidR="00B14C8E">
        <w:rPr>
          <w:rFonts w:ascii="Tahoma" w:hAnsi="Tahoma" w:cs="Tahoma"/>
          <w:sz w:val="28"/>
          <w:szCs w:val="28"/>
        </w:rPr>
        <w:t xml:space="preserve">yee on how to answer a question or object to improper questioning. </w:t>
      </w:r>
    </w:p>
    <w:p w:rsidR="00434B51" w:rsidRPr="00434B51" w:rsidRDefault="00434B51" w:rsidP="00434B51">
      <w:pPr>
        <w:pStyle w:val="ListParagraph"/>
        <w:rPr>
          <w:rFonts w:ascii="Tahoma" w:hAnsi="Tahoma" w:cs="Tahoma"/>
          <w:sz w:val="28"/>
          <w:szCs w:val="28"/>
        </w:rPr>
      </w:pPr>
    </w:p>
    <w:p w:rsidR="00434B51" w:rsidRDefault="00434B51" w:rsidP="00434B51">
      <w:pPr>
        <w:pStyle w:val="ListParagraph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434B51">
        <w:rPr>
          <w:rFonts w:ascii="Tahoma" w:hAnsi="Tahoma" w:cs="Tahoma"/>
          <w:sz w:val="28"/>
          <w:szCs w:val="28"/>
        </w:rPr>
        <w:t>Provide additional informatio</w:t>
      </w:r>
      <w:r>
        <w:rPr>
          <w:rFonts w:ascii="Tahoma" w:hAnsi="Tahoma" w:cs="Tahoma"/>
          <w:sz w:val="28"/>
          <w:szCs w:val="28"/>
        </w:rPr>
        <w:t>n</w:t>
      </w:r>
      <w:r w:rsidR="00B14C8E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after </w:t>
      </w:r>
      <w:r w:rsidR="00B14C8E">
        <w:rPr>
          <w:rFonts w:ascii="Tahoma" w:hAnsi="Tahoma" w:cs="Tahoma"/>
          <w:sz w:val="28"/>
          <w:szCs w:val="28"/>
        </w:rPr>
        <w:t>the questioning</w:t>
      </w:r>
      <w:r>
        <w:rPr>
          <w:rFonts w:ascii="Tahoma" w:hAnsi="Tahoma" w:cs="Tahoma"/>
          <w:sz w:val="28"/>
          <w:szCs w:val="28"/>
        </w:rPr>
        <w:t xml:space="preserve"> is over.</w:t>
      </w:r>
    </w:p>
    <w:p w:rsidR="00434B51" w:rsidRPr="00434B51" w:rsidRDefault="00434B51" w:rsidP="00434B51">
      <w:pPr>
        <w:pStyle w:val="ListParagraph"/>
        <w:rPr>
          <w:rFonts w:ascii="Tahoma" w:hAnsi="Tahoma" w:cs="Tahoma"/>
          <w:sz w:val="28"/>
          <w:szCs w:val="28"/>
        </w:rPr>
      </w:pPr>
    </w:p>
    <w:p w:rsidR="00434B51" w:rsidRPr="00434B51" w:rsidRDefault="004620C3" w:rsidP="00434B5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called into a Weingarten</w:t>
      </w:r>
      <w:r w:rsidR="00434B51" w:rsidRPr="00434B51">
        <w:rPr>
          <w:rFonts w:ascii="Tahoma" w:hAnsi="Tahoma" w:cs="Tahoma"/>
          <w:sz w:val="28"/>
          <w:szCs w:val="28"/>
        </w:rPr>
        <w:t xml:space="preserve"> meeting</w:t>
      </w:r>
      <w:r>
        <w:rPr>
          <w:rFonts w:ascii="Tahoma" w:hAnsi="Tahoma" w:cs="Tahoma"/>
          <w:sz w:val="28"/>
          <w:szCs w:val="28"/>
        </w:rPr>
        <w:t xml:space="preserve"> (investigatory meeting)</w:t>
      </w:r>
      <w:r w:rsidR="00434B51" w:rsidRPr="00434B51">
        <w:rPr>
          <w:rFonts w:ascii="Tahoma" w:hAnsi="Tahoma" w:cs="Tahoma"/>
          <w:sz w:val="28"/>
          <w:szCs w:val="28"/>
        </w:rPr>
        <w:t>, you should also: 1) take detailed notes on the questions asked and the answers given during the meeting; 2) help the employee</w:t>
      </w:r>
      <w:r w:rsidR="00C6180D">
        <w:rPr>
          <w:rFonts w:ascii="Tahoma" w:hAnsi="Tahoma" w:cs="Tahoma"/>
          <w:sz w:val="28"/>
          <w:szCs w:val="28"/>
        </w:rPr>
        <w:t xml:space="preserve"> remain calm during the meeting;</w:t>
      </w:r>
      <w:r w:rsidR="00434B51" w:rsidRPr="00434B51">
        <w:rPr>
          <w:rFonts w:ascii="Tahoma" w:hAnsi="Tahoma" w:cs="Tahoma"/>
          <w:sz w:val="28"/>
          <w:szCs w:val="28"/>
        </w:rPr>
        <w:t xml:space="preserve"> and </w:t>
      </w:r>
      <w:r w:rsidR="00C6180D">
        <w:rPr>
          <w:rFonts w:ascii="Tahoma" w:hAnsi="Tahoma" w:cs="Tahoma"/>
          <w:sz w:val="28"/>
          <w:szCs w:val="28"/>
        </w:rPr>
        <w:t xml:space="preserve">3) </w:t>
      </w:r>
      <w:r w:rsidR="00434B51" w:rsidRPr="00434B51">
        <w:rPr>
          <w:rFonts w:ascii="Tahoma" w:hAnsi="Tahoma" w:cs="Tahoma"/>
          <w:sz w:val="28"/>
          <w:szCs w:val="28"/>
        </w:rPr>
        <w:t xml:space="preserve">remind the employee to keep answers short and truthful and not </w:t>
      </w:r>
      <w:r w:rsidR="00C6180D">
        <w:rPr>
          <w:rFonts w:ascii="Tahoma" w:hAnsi="Tahoma" w:cs="Tahoma"/>
          <w:sz w:val="28"/>
          <w:szCs w:val="28"/>
        </w:rPr>
        <w:t xml:space="preserve">to </w:t>
      </w:r>
      <w:r w:rsidR="00434B51" w:rsidRPr="00434B51">
        <w:rPr>
          <w:rFonts w:ascii="Tahoma" w:hAnsi="Tahoma" w:cs="Tahoma"/>
          <w:sz w:val="28"/>
          <w:szCs w:val="28"/>
        </w:rPr>
        <w:t>volunteer additional information.</w:t>
      </w:r>
      <w:bookmarkStart w:id="0" w:name="_GoBack"/>
      <w:bookmarkEnd w:id="0"/>
    </w:p>
    <w:p w:rsidR="00434B51" w:rsidRPr="00434B51" w:rsidRDefault="00434B51" w:rsidP="00434B51">
      <w:pPr>
        <w:rPr>
          <w:rFonts w:ascii="Tahoma" w:hAnsi="Tahoma" w:cs="Tahoma"/>
          <w:color w:val="2E74B5" w:themeColor="accent1" w:themeShade="BF"/>
          <w:sz w:val="28"/>
          <w:szCs w:val="28"/>
        </w:rPr>
      </w:pPr>
    </w:p>
    <w:sectPr w:rsidR="00434B51" w:rsidRPr="00434B51" w:rsidSect="00434B51">
      <w:foot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59" w:rsidRDefault="00F55559" w:rsidP="00B14C8E">
      <w:pPr>
        <w:spacing w:after="0" w:line="240" w:lineRule="auto"/>
      </w:pPr>
      <w:r>
        <w:separator/>
      </w:r>
    </w:p>
  </w:endnote>
  <w:endnote w:type="continuationSeparator" w:id="0">
    <w:p w:rsidR="00F55559" w:rsidRDefault="00F55559" w:rsidP="00B1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C8E" w:rsidRDefault="00B14C8E" w:rsidP="00B14C8E">
    <w:pPr>
      <w:pStyle w:val="Footer"/>
      <w:jc w:val="center"/>
    </w:pPr>
    <w:r>
      <w:t>Source: The AFSCME Steward Handbook</w:t>
    </w:r>
  </w:p>
  <w:p w:rsidR="00B14C8E" w:rsidRDefault="00B14C8E" w:rsidP="00B14C8E">
    <w:pPr>
      <w:pStyle w:val="Footer"/>
      <w:jc w:val="center"/>
    </w:pPr>
  </w:p>
  <w:p w:rsidR="00B14C8E" w:rsidRDefault="00B14C8E" w:rsidP="00B14C8E">
    <w:pPr>
      <w:pStyle w:val="Footer"/>
      <w:jc w:val="center"/>
    </w:pPr>
    <w:r>
      <w:t>Washington Federation of State Employees ▪ AFSCME Council 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59" w:rsidRDefault="00F55559" w:rsidP="00B14C8E">
      <w:pPr>
        <w:spacing w:after="0" w:line="240" w:lineRule="auto"/>
      </w:pPr>
      <w:r>
        <w:separator/>
      </w:r>
    </w:p>
  </w:footnote>
  <w:footnote w:type="continuationSeparator" w:id="0">
    <w:p w:rsidR="00F55559" w:rsidRDefault="00F55559" w:rsidP="00B1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C8E" w:rsidRDefault="00B14C8E" w:rsidP="00B14C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632B"/>
    <w:multiLevelType w:val="hybridMultilevel"/>
    <w:tmpl w:val="83E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A3FF5"/>
    <w:multiLevelType w:val="hybridMultilevel"/>
    <w:tmpl w:val="9878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51"/>
    <w:rsid w:val="00115DED"/>
    <w:rsid w:val="00434B51"/>
    <w:rsid w:val="004620C3"/>
    <w:rsid w:val="0058669F"/>
    <w:rsid w:val="005940E1"/>
    <w:rsid w:val="00780874"/>
    <w:rsid w:val="00B14C8E"/>
    <w:rsid w:val="00B942AC"/>
    <w:rsid w:val="00C6180D"/>
    <w:rsid w:val="00DF0415"/>
    <w:rsid w:val="00F5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B9E8"/>
  <w15:chartTrackingRefBased/>
  <w15:docId w15:val="{10EE4D2B-A4BF-48CF-BCAE-05E4F554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8E"/>
  </w:style>
  <w:style w:type="paragraph" w:styleId="Footer">
    <w:name w:val="footer"/>
    <w:basedOn w:val="Normal"/>
    <w:link w:val="FooterChar"/>
    <w:uiPriority w:val="99"/>
    <w:unhideWhenUsed/>
    <w:rsid w:val="00B14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WFSE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Frye</dc:creator>
  <cp:keywords/>
  <dc:description/>
  <cp:lastModifiedBy>Darby Frye</cp:lastModifiedBy>
  <cp:revision>5</cp:revision>
  <dcterms:created xsi:type="dcterms:W3CDTF">2018-06-26T20:20:00Z</dcterms:created>
  <dcterms:modified xsi:type="dcterms:W3CDTF">2018-07-13T00:34:00Z</dcterms:modified>
</cp:coreProperties>
</file>